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9FDF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Szanowny Panie,</w:t>
      </w:r>
    </w:p>
    <w:p w14:paraId="04E8FAAB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działając w imieniu Szczecińskiego Funduszu Pożyczkowego sp. z o.o. w Szczecinie (dalej jako SFP), w odpowiedzi na wniosek o udostępnienie informacji publicznej (przesłany w formie e-mail w dniu 11/04/2023), na wstępie zauważam, że treść wniosku nie jest dla SFP jasna oraz zrozumiała, a nadto wynika z wniosku, że jego adresatem są inne podmioty niż spółka komunalna. W związku z tym, SFP udziela odpowiedzi w zakresie ją obejmującym:</w:t>
      </w:r>
    </w:p>
    <w:p w14:paraId="78E51EA0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</w:p>
    <w:p w14:paraId="08D4DC49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1) SFP nie jest pomiotem obowiązanym do ustanowienia inspektora danych osobowych i nie ustanowiła w związku z tym IOD. Wszelkie obowiązki związane z IOD nie dotyczą zatem Spółki;</w:t>
      </w:r>
    </w:p>
    <w:p w14:paraId="69138F3E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2) SFP nie jest podmiotem wymienionym w rozporządzeniu Rady Ministrów z dnia 12 kwietnia 2012 r. w sprawie Krajowych Ram Interoperacyjności, minimalnych wymagań dla rejestrów publicznych i wymiany informacji w postaci elektronicznej oraz minimalnych wymagań dla systemów teleinformatycznych, a tym samym nie jest objęta obowiązkami wymienionymi w tym akcie prawnym, w tym m.in. nie ma obowiązku przeprowadzenia audytu określonego w w/w akcie prawnym;</w:t>
      </w:r>
    </w:p>
    <w:p w14:paraId="2E6B3C9A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3) W ramach opracowanych i wdrożonych do stosowania dokumentów dot. ochrony danych osobowych, w SFP obowiązują m.in. polityka ochrony danych osobowych, rejestr czynności przetwarzania, klauzule informacyjne o przetwarzaniu danych osobowych, polityka prywatności, instrukcja postępowania w przypadku naruszenia ochrony danych osobowych, rejestr naruszeń, wykaz zabezpieczeń danych osobowych, procedura realizacji praw osób fizycznych, upoważnienie  do przetwarzania danych osobowych , regulamin ochrony danych osobowych. Dokumenty są aktualizowane stosownie do obowiązków ustawowych. Szkolenie z zakresu RODO zostało przeprowadzone dla pracowników SFP przez radcę prawnego posiadającego bogate doświadczenie z zakresu ochrony danych osobowych. Pracownicy Spółki podpisali konieczny dokument w zakresie zapoznania się z obowiązującymi procedurami;</w:t>
      </w:r>
    </w:p>
    <w:p w14:paraId="6300BC2E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4) SFP przekazuje wymagane informacje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przy pozyskaniu danych osobowych dot. tej osoby (wniosek, umowa). SFP nie pozyskuje danych określonych w art. 14 RODO;</w:t>
      </w:r>
    </w:p>
    <w:p w14:paraId="2E40218E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5) SFP nie jest podmiotem wymienionym w Dyrektywie Parlamentu Europejskiego i Rady (UE) 2019/1937 z dnia 23 października 2019 w sprawie ochrony osób zgłaszających naruszenia prawa Unii, a zatem nie jest objęta obowiązkami wymienionymi w tym akcie prawnym;</w:t>
      </w:r>
    </w:p>
    <w:p w14:paraId="6D540D30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6) SFP nie prowadzi monitoringu wizyjnego.</w:t>
      </w:r>
    </w:p>
    <w:p w14:paraId="4C8AEB04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</w:p>
    <w:p w14:paraId="0866C69B" w14:textId="77777777" w:rsidR="0051493E" w:rsidRDefault="0051493E" w:rsidP="0051493E">
      <w:pPr>
        <w:jc w:val="both"/>
        <w:rPr>
          <w:rFonts w:ascii="Calibri" w:hAnsi="Calibri" w:cs="Calibri"/>
          <w:color w:val="auto"/>
          <w:sz w:val="22"/>
          <w:szCs w:val="22"/>
          <w14:ligatures w14:val="none"/>
        </w:rPr>
      </w:pPr>
      <w:r>
        <w:rPr>
          <w:rFonts w:ascii="Calibri" w:hAnsi="Calibri" w:cs="Calibri"/>
          <w:color w:val="auto"/>
          <w:sz w:val="22"/>
          <w:szCs w:val="22"/>
          <w14:ligatures w14:val="none"/>
        </w:rPr>
        <w:t>W pozostałym zakresie zapytań wymienionych we wniosku, jak to już wyżej wskazano, SFP nie jest podmiotem objętym obowiązkami wynikającymi z przywołanych aktów prawnych, a tym samym zapytania jej nie dotyczą.</w:t>
      </w:r>
    </w:p>
    <w:p w14:paraId="0985EE13" w14:textId="77777777" w:rsidR="001220D0" w:rsidRDefault="001220D0"/>
    <w:sectPr w:rsidR="0012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EB"/>
    <w:rsid w:val="000A28EB"/>
    <w:rsid w:val="001220D0"/>
    <w:rsid w:val="0051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6C188-3588-4772-8BDF-F9115C15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3E"/>
    <w:pPr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Weychan-Rączka</dc:creator>
  <cp:keywords/>
  <dc:description/>
  <cp:lastModifiedBy>Agnieszka Weychan-Rączka</cp:lastModifiedBy>
  <cp:revision>2</cp:revision>
  <dcterms:created xsi:type="dcterms:W3CDTF">2023-06-12T09:13:00Z</dcterms:created>
  <dcterms:modified xsi:type="dcterms:W3CDTF">2023-06-12T09:13:00Z</dcterms:modified>
</cp:coreProperties>
</file>